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7"/>
        <w:gridCol w:w="3477"/>
        <w:gridCol w:w="3086"/>
      </w:tblGrid>
      <w:tr w:rsidR="009A3881" w:rsidRPr="007E5B5E" w:rsidTr="009A3881">
        <w:trPr>
          <w:trHeight w:val="420"/>
        </w:trPr>
        <w:tc>
          <w:tcPr>
            <w:tcW w:w="8720" w:type="dxa"/>
            <w:gridSpan w:val="3"/>
            <w:shd w:val="clear" w:color="auto" w:fill="0070C0"/>
            <w:noWrap/>
            <w:vAlign w:val="center"/>
            <w:hideMark/>
          </w:tcPr>
          <w:p w:rsidR="009A3881" w:rsidRPr="007E5B5E" w:rsidRDefault="009A3881" w:rsidP="009A3881">
            <w:pPr>
              <w:rPr>
                <w:b/>
                <w:bCs/>
              </w:rPr>
            </w:pPr>
            <w:r w:rsidRPr="009A3881">
              <w:rPr>
                <w:b/>
                <w:bCs/>
                <w:color w:val="FFFFFF" w:themeColor="background1"/>
              </w:rPr>
              <w:t>CONVOCATORIA PIO 2020</w:t>
            </w:r>
          </w:p>
        </w:tc>
      </w:tr>
      <w:tr w:rsidR="007E5B5E" w:rsidRPr="007E5B5E" w:rsidTr="009A3881">
        <w:trPr>
          <w:trHeight w:val="417"/>
        </w:trPr>
        <w:tc>
          <w:tcPr>
            <w:tcW w:w="2157" w:type="dxa"/>
            <w:vAlign w:val="center"/>
            <w:hideMark/>
          </w:tcPr>
          <w:p w:rsidR="007E5B5E" w:rsidRPr="007E5B5E" w:rsidRDefault="009A3881" w:rsidP="009A3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7E5B5E">
              <w:rPr>
                <w:b/>
                <w:bCs/>
              </w:rPr>
              <w:t>ódigo del proyecto</w:t>
            </w:r>
          </w:p>
        </w:tc>
        <w:tc>
          <w:tcPr>
            <w:tcW w:w="3477" w:type="dxa"/>
            <w:vAlign w:val="center"/>
            <w:hideMark/>
          </w:tcPr>
          <w:p w:rsidR="007E5B5E" w:rsidRPr="007E5B5E" w:rsidRDefault="009A3881" w:rsidP="009A3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7E5B5E">
              <w:rPr>
                <w:b/>
                <w:bCs/>
              </w:rPr>
              <w:t xml:space="preserve">ítulo del </w:t>
            </w:r>
            <w:r>
              <w:rPr>
                <w:b/>
                <w:bCs/>
              </w:rPr>
              <w:t>P</w:t>
            </w:r>
            <w:r w:rsidRPr="007E5B5E">
              <w:rPr>
                <w:b/>
                <w:bCs/>
              </w:rPr>
              <w:t>royecto</w:t>
            </w:r>
          </w:p>
        </w:tc>
        <w:tc>
          <w:tcPr>
            <w:tcW w:w="3086" w:type="dxa"/>
            <w:vAlign w:val="center"/>
            <w:hideMark/>
          </w:tcPr>
          <w:p w:rsidR="007E5B5E" w:rsidRPr="007E5B5E" w:rsidRDefault="009A3881" w:rsidP="009A3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7E5B5E">
              <w:rPr>
                <w:b/>
                <w:bCs/>
              </w:rPr>
              <w:t>irector/a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hideMark/>
          </w:tcPr>
          <w:p w:rsidR="007E5B5E" w:rsidRPr="007E5B5E" w:rsidRDefault="007E5B5E" w:rsidP="007E5B5E">
            <w:r w:rsidRPr="007E5B5E">
              <w:t>80020190300038UM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MIC-GNSS (</w:t>
            </w:r>
            <w:proofErr w:type="spellStart"/>
            <w:r w:rsidRPr="007E5B5E">
              <w:t>Microgeodesia</w:t>
            </w:r>
            <w:proofErr w:type="spellEnd"/>
            <w:r w:rsidRPr="007E5B5E">
              <w:t xml:space="preserve"> utilizando sistemas de posicionamiento global).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PALLEJÁ, EZEQUIEL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80020190300045UM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Las prácticas políticas populares en transición: del Antiguo Régimen a la Revolución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CIVITILLO, VIVIANA MARÍA</w:t>
            </w:r>
          </w:p>
        </w:tc>
      </w:tr>
      <w:tr w:rsidR="007E5B5E" w:rsidRPr="007E5B5E" w:rsidTr="009A3881">
        <w:trPr>
          <w:trHeight w:val="12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80020190300010UM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Estudio de las propiedades físicas y químicas de los frutos de </w:t>
            </w:r>
            <w:proofErr w:type="spellStart"/>
            <w:r w:rsidRPr="007E5B5E">
              <w:t>Hexachlamys</w:t>
            </w:r>
            <w:proofErr w:type="spellEnd"/>
            <w:r w:rsidRPr="007E5B5E">
              <w:t xml:space="preserve"> </w:t>
            </w:r>
            <w:proofErr w:type="spellStart"/>
            <w:r w:rsidRPr="007E5B5E">
              <w:t>edulis</w:t>
            </w:r>
            <w:proofErr w:type="spellEnd"/>
            <w:r w:rsidRPr="007E5B5E">
              <w:t xml:space="preserve"> "ubajay" de Concordia, Entre Ríos, durante la </w:t>
            </w:r>
            <w:proofErr w:type="spellStart"/>
            <w:r w:rsidRPr="007E5B5E">
              <w:t>poscosecha</w:t>
            </w:r>
            <w:proofErr w:type="spellEnd"/>
            <w:r w:rsidRPr="007E5B5E">
              <w:t xml:space="preserve"> para su posterior uso sustentable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ARENA, MIRIAM ELISABET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80020190300008UM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Evaluación y cartografía de la erosión del suelo en la Argentina como base para la planificación de un uso sustentable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CASAS, ROBERTO RAÚL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80020190300027UM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Contenido de fibras en procesos de malteado automatizados de centeno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COSCARELLO, ETHEL NOEMÍ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80020190300018UM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Rehabilitación Socio-Urbano-Ambiental de Conjuntos Habitacionales degradados: Caso Barrio Presidente Sarmiento y Carlos Gardel, Municipio de Morón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MODANESI, MABEL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80020190300039UM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Dispositivos de proyección con efecto holográfico de imágenes virtuales de piezas anatómicas reales y su incuestionable valor didáctico.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DONATI, JUAN ENRIQUE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80020190300011UM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Aplicación de Analítica del Aprendizaje sobre un curso a distancia desarrollado con técnicas de Diseño del Aprendizaje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SATTOLO, IRIS INÉS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80020190300026UM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El impuesto a las ganancias sobre los dividendos presuntos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FERREIRO, JORGE HÉCTOR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80020190300030UM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Línea jurisprudencial de la Corte Penal Internacional: ¿casos que conforman una doctrina judicial consistente?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BARBERO, NATALIA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80020190300021UM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Competencias socioemocionales y afrontamiento. Cómo se relacionan con los síntomas psicológicos en adultos argentinos.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PIOVANO, NICOLÁS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80020190300025UM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Presión impositiva comparada en el ámbito del Mercosur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MORALES, WAYNE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80020190300033UM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Correlaciones de espín entre impurezas magnéticas en </w:t>
            </w:r>
            <w:r w:rsidRPr="007E5B5E">
              <w:lastRenderedPageBreak/>
              <w:t xml:space="preserve">nanotubos de carbono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lastRenderedPageBreak/>
              <w:t>BÜSSER, CARLOS ALBERTO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lastRenderedPageBreak/>
              <w:t>80020190300042UM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Casos de indeterminación por ambigüedad sintáctica en el ordenamiento jurídico argentino y las soluciones propuestas por la jurisprudencia.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ALVARITO, RODOLFO ALEJANDRO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80020190300044UM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Prevención y promoción de diabetes desde la enfermería en el Partido de Morón con una mirada social y enfocada en los ODS 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MOSQUEIRA, SANDRA MARINA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80020190300016UM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Influencias del estado biométrico emocional de personas interactuando en contextos </w:t>
            </w:r>
            <w:proofErr w:type="spellStart"/>
            <w:r w:rsidRPr="007E5B5E">
              <w:t>gastronomicos</w:t>
            </w:r>
            <w:proofErr w:type="spellEnd"/>
            <w:r w:rsidRPr="007E5B5E">
              <w:t xml:space="preserve"> reales y virtuales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IERACHE, JORGE SALVADOR</w:t>
            </w:r>
          </w:p>
        </w:tc>
      </w:tr>
      <w:tr w:rsidR="007E5B5E" w:rsidRPr="007E5B5E" w:rsidTr="009A3881">
        <w:trPr>
          <w:trHeight w:val="12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80020190300032UM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Incidencia del ABP en los enfoques de aprendizaje, en función de la especificidad de las áreas de conocimiento y las particularidades de las modalidades de cursado, en la Educación Superior.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BENITO, PATRICIA INÉS</w:t>
            </w:r>
          </w:p>
        </w:tc>
      </w:tr>
      <w:tr w:rsidR="007E5B5E" w:rsidRPr="007E5B5E" w:rsidTr="009A3881">
        <w:trPr>
          <w:trHeight w:val="15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80020190300034UM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Estudio comparativo de prácticas productivas y manejo de recursos naturales con foco en los lineamientos de buenas prácticas agrícolas en dos grupos productores de hortalizas y frutas del Área Metropolitana de Buenos Aires.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BIANQUI, VANINA PAOLA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80020190300037UM 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Cuantificación comparativa de fibras en variedades autóctonas de avenas forrajeras.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LARREGAIN, CLAUDIA CECILIA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80020190300029UM 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Factores disruptivos en instituciones de salud: su impacto en trastornos psicofísicos en el personal de enfermería.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NOVELLI, ENRIQUE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8002019030004</w:t>
            </w:r>
            <w:bookmarkStart w:id="0" w:name="_GoBack"/>
            <w:bookmarkEnd w:id="0"/>
            <w:r w:rsidRPr="007E5B5E">
              <w:t>6UM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Calidad de vida y cognición en patologías hipofisarias, tumores de </w:t>
            </w:r>
            <w:proofErr w:type="spellStart"/>
            <w:r w:rsidRPr="007E5B5E">
              <w:t>hipofisis</w:t>
            </w:r>
            <w:proofErr w:type="spellEnd"/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MARITÍNEZ INSUA, ADRIANA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80020190300012UM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Impacto de las Tecnologías de Información y Comunicación en la sustentabilidad del uso del agua potable en la República Argentina.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PANIZZI, MARISA DANIELA</w:t>
            </w:r>
          </w:p>
        </w:tc>
      </w:tr>
      <w:tr w:rsidR="007E5B5E" w:rsidRPr="007E5B5E" w:rsidTr="009A3881">
        <w:trPr>
          <w:trHeight w:val="12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80020190300005UM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Identificar cuáles son las competencias sociales y actitudinales que los ingenieros necesitan para ejercer un eficiente liderazgo, como las han adquirido y aplican las mismas.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ZAMBERLAN, ADRIÁN EMILIO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80020190300017UM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 xml:space="preserve">Evaluación del efecto antiepiléptico de la melatonina versus ácido </w:t>
            </w:r>
            <w:proofErr w:type="spellStart"/>
            <w:r w:rsidRPr="007E5B5E">
              <w:t>valproico</w:t>
            </w:r>
            <w:proofErr w:type="spellEnd"/>
            <w:r w:rsidRPr="007E5B5E">
              <w:t xml:space="preserve"> en un modelo animal de </w:t>
            </w:r>
            <w:r w:rsidRPr="007E5B5E">
              <w:lastRenderedPageBreak/>
              <w:t>epilepsia experimental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lastRenderedPageBreak/>
              <w:t>CERVINO, CLAUDIO OSVALDO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lastRenderedPageBreak/>
              <w:t>80020190300023UM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Aprovechamiento y conservación de especies nativas del NOA para su uso tintóreo.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RADICE, SILVIA</w:t>
            </w:r>
          </w:p>
        </w:tc>
      </w:tr>
      <w:tr w:rsidR="007E5B5E" w:rsidRPr="007E5B5E" w:rsidTr="009A3881">
        <w:trPr>
          <w:trHeight w:val="9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80020190300040UM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Optimización del secado en el proceso de obtención de malta de cebada cervecera y forrajera cultivada en Argentina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GÓMEZ CASTRO, MARÍA LAURA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80020190300006UM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Análisis comparativo de los modelos de gestión empresarial, utilizando la técnica VRIO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NUÑEZ, HÉCTOR RICARDO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80020190300014UM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Microbiología de productos derivados de la Cannabis sativa L. como pauta de prevención a la salud.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ALVES, ROSANA ELISABET</w:t>
            </w:r>
          </w:p>
        </w:tc>
      </w:tr>
      <w:tr w:rsidR="007E5B5E" w:rsidRPr="007E5B5E" w:rsidTr="009A3881">
        <w:trPr>
          <w:trHeight w:val="3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80020190300001UM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La conciencia y el significado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GRIMOLDI, PABLO</w:t>
            </w:r>
          </w:p>
        </w:tc>
      </w:tr>
      <w:tr w:rsidR="007E5B5E" w:rsidRPr="007E5B5E" w:rsidTr="009A3881">
        <w:trPr>
          <w:trHeight w:val="600"/>
        </w:trPr>
        <w:tc>
          <w:tcPr>
            <w:tcW w:w="2157" w:type="dxa"/>
            <w:noWrap/>
            <w:hideMark/>
          </w:tcPr>
          <w:p w:rsidR="007E5B5E" w:rsidRPr="007E5B5E" w:rsidRDefault="007E5B5E" w:rsidP="007E5B5E">
            <w:r w:rsidRPr="007E5B5E">
              <w:t>80020190300003UM</w:t>
            </w:r>
          </w:p>
        </w:tc>
        <w:tc>
          <w:tcPr>
            <w:tcW w:w="3477" w:type="dxa"/>
            <w:hideMark/>
          </w:tcPr>
          <w:p w:rsidR="007E5B5E" w:rsidRPr="007E5B5E" w:rsidRDefault="007E5B5E" w:rsidP="007E5B5E">
            <w:r w:rsidRPr="007E5B5E">
              <w:t>La invención de la sexualidad en tanto experiencia histórica</w:t>
            </w:r>
          </w:p>
        </w:tc>
        <w:tc>
          <w:tcPr>
            <w:tcW w:w="3086" w:type="dxa"/>
            <w:noWrap/>
            <w:hideMark/>
          </w:tcPr>
          <w:p w:rsidR="007E5B5E" w:rsidRPr="007E5B5E" w:rsidRDefault="007E5B5E" w:rsidP="007E5B5E">
            <w:r w:rsidRPr="007E5B5E">
              <w:t>COLOMBANI, MARÍA CECILIA</w:t>
            </w:r>
          </w:p>
        </w:tc>
      </w:tr>
    </w:tbl>
    <w:p w:rsidR="001027EE" w:rsidRDefault="001027EE"/>
    <w:sectPr w:rsidR="00102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5E"/>
    <w:rsid w:val="001027EE"/>
    <w:rsid w:val="007E5B5E"/>
    <w:rsid w:val="009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Mariangeles Montiel</dc:creator>
  <cp:keywords/>
  <dc:description/>
  <cp:lastModifiedBy>catedras</cp:lastModifiedBy>
  <cp:revision>2</cp:revision>
  <dcterms:created xsi:type="dcterms:W3CDTF">2023-04-17T18:42:00Z</dcterms:created>
  <dcterms:modified xsi:type="dcterms:W3CDTF">2023-04-18T13:03:00Z</dcterms:modified>
</cp:coreProperties>
</file>