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3827"/>
        <w:gridCol w:w="2835"/>
      </w:tblGrid>
      <w:tr w:rsidR="00B0615B" w:rsidTr="00435413">
        <w:tc>
          <w:tcPr>
            <w:tcW w:w="8784" w:type="dxa"/>
            <w:gridSpan w:val="3"/>
            <w:shd w:val="clear" w:color="auto" w:fill="003399"/>
          </w:tcPr>
          <w:p w:rsidR="00B0615B" w:rsidRPr="00B0615B" w:rsidRDefault="00B0615B">
            <w:pPr>
              <w:rPr>
                <w:b/>
              </w:rPr>
            </w:pPr>
            <w:r w:rsidRPr="00B0615B">
              <w:rPr>
                <w:b/>
              </w:rPr>
              <w:t>CONVOCATORIA PICT 2024</w:t>
            </w:r>
          </w:p>
        </w:tc>
      </w:tr>
      <w:tr w:rsidR="00B0615B" w:rsidTr="00435413">
        <w:trPr>
          <w:trHeight w:val="428"/>
        </w:trPr>
        <w:tc>
          <w:tcPr>
            <w:tcW w:w="2122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827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835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80020230100003UM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Trazando Rutas Sostenibles: Un Diagnóstico Socio-Ambiental para el Desarrollo Sostenible del Partido de la Costa"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SANTACHITA, SANDRA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80020230100004UM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Evaluación de los cambios esqueléticos y dentarios producidos por la Expansión Rápida Maxilar (ERM), observados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contomografía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computada de haz cónico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TOMASZEUSKI, PATRICIO ANDRÉS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80020230100005UM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Economía del Conocimiento: nuevos desafíos para gobiernos y empresas.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ROS, MARÍA LAURA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80020230100012UM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Propagación y conservación de </w:t>
            </w:r>
            <w:proofErr w:type="spellStart"/>
            <w:r>
              <w:rPr>
                <w:rFonts w:ascii="Calibri" w:hAnsi="Calibri" w:cs="Calibri"/>
                <w:color w:val="000000"/>
              </w:rPr>
              <w:t>Berberis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el NOA con especial énfasis en la selección por el contenido de </w:t>
            </w:r>
            <w:proofErr w:type="spellStart"/>
            <w:r>
              <w:rPr>
                <w:rFonts w:ascii="Calibri" w:hAnsi="Calibri" w:cs="Calibri"/>
                <w:color w:val="000000"/>
              </w:rPr>
              <w:t>berberina</w:t>
            </w:r>
            <w:proofErr w:type="spellEnd"/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RADICE, SILVIA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80020230100015UM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Etiología de las diarreas virales agudas pre y post-vacunación anti-Rotavirus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CABRAL, GRACIELA ESTER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80020230100020UM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Estudio observacional de consumo de sustancias psicoactivas en alumnos de la Universidad de Morón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CABRERIZO, SILVIA BEATRIZ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80020230100027UM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LACTANCIA INDUCIDA, RELACTACION, NODRIZAJE HUMANO y LACTANCIA MERCENARIA. Estudio sobre estas </w:t>
            </w:r>
            <w:proofErr w:type="spellStart"/>
            <w:r>
              <w:rPr>
                <w:rFonts w:ascii="Calibri" w:hAnsi="Calibri" w:cs="Calibri"/>
                <w:color w:val="000000"/>
              </w:rPr>
              <w:t>practicas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el Área Metropolitana de Buenos Aires.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DURO, EDUARDO ALFREDO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80020230100034UM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Bioprospección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química de frutos de especies nativas de Argentina para la extracción de compuestos </w:t>
            </w:r>
            <w:proofErr w:type="spellStart"/>
            <w:r>
              <w:rPr>
                <w:rFonts w:ascii="Calibri" w:hAnsi="Calibri" w:cs="Calibri"/>
                <w:color w:val="000000"/>
              </w:rPr>
              <w:t>bioactivos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 su posterior encapsulación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ARENA, MIRIAM ELISABET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80020230100035UM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 del Sistema Olfativo y la Melatonina en la Epilepsia Experimental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CERVINO, CLAUDIO OSVALDO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80020230100036UM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Optimización de la farmacoterapia </w:t>
            </w:r>
            <w:proofErr w:type="gramStart"/>
            <w:r>
              <w:rPr>
                <w:rFonts w:ascii="Calibri" w:hAnsi="Calibri" w:cs="Calibri"/>
                <w:color w:val="000000"/>
              </w:rPr>
              <w:t>en  una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población de personas viviendo con VIH que se atiende en un hospital público de La Matanza. Estrategias de prevención de la infección por VIH con drogas.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BENITEZ, LILIANA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80020230100037UM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(título transitorio) Avances en Computación Cuántica y Dispositivos </w:t>
            </w:r>
            <w:proofErr w:type="spellStart"/>
            <w:r>
              <w:rPr>
                <w:rFonts w:ascii="Calibri" w:hAnsi="Calibri" w:cs="Calibri"/>
                <w:color w:val="000000"/>
              </w:rPr>
              <w:t>Nanoelectrónicos</w:t>
            </w:r>
            <w:proofErr w:type="spellEnd"/>
            <w:r>
              <w:rPr>
                <w:rFonts w:ascii="Calibri" w:hAnsi="Calibri" w:cs="Calibri"/>
                <w:color w:val="000000"/>
              </w:rPr>
              <w:t>: Un Enfoque Interdisciplinario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BÜSSER, CARLOS ALBERTO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80020230100039UM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Regulación Ética de la Inteligencia Artificial: Desarrollo de un Marco Integral para Salvaguardar Derechos Individuales y Promover la Innovación Responsable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ALVAREZ CHAFFER, MATIAS DANIEL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80020230100042UM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SINTESIS DE UN EMULGENTE DE ALTA EFICIENCIA A PARTIR DE LECITINA DE SOJA Y ALCHOL GRASO ETOXILADO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CARREA, JUAN MARÍA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80020230100044UM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Desarrollo de un Sistema OBD (</w:t>
            </w:r>
            <w:proofErr w:type="spellStart"/>
            <w:r>
              <w:rPr>
                <w:rFonts w:ascii="Calibri" w:hAnsi="Calibri" w:cs="Calibri"/>
                <w:color w:val="000000"/>
              </w:rPr>
              <w:t>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Diagnostics</w:t>
            </w:r>
            <w:proofErr w:type="spellEnd"/>
            <w:r>
              <w:rPr>
                <w:rFonts w:ascii="Calibri" w:hAnsi="Calibri" w:cs="Calibri"/>
                <w:color w:val="000000"/>
              </w:rPr>
              <w:t>) en un auto eléctrico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DEGIOVANNINI, ROBERTO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80020230100045UM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Identificación de regiones genómicas responsables de la resistencia durable a roya de la hoja de trigo en la variedad </w:t>
            </w:r>
            <w:proofErr w:type="spellStart"/>
            <w:r>
              <w:rPr>
                <w:rFonts w:ascii="Calibri" w:hAnsi="Calibri" w:cs="Calibri"/>
                <w:color w:val="000000"/>
              </w:rPr>
              <w:t>Buck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Poncho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SALERNO, JUAN CARLOS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80020230100046UM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Impacto de la fermentación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maloláctica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sobre las características cromáticas y táctiles de vinos tintos obtenidos a partir de diferentes varietales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Vitis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vinifera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OLGUIN, NAIR TEMIS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80020230100047UM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Percepciones y experiencias de la educación virtual en el escenario de la pandemia por Covid-19 de los alumnos de la  Universidad de Morón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GONZALEZ, JULIO ROLANDO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80020230100049UM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Análisis comparativo y contrastivo de términos jurídicos vastamente utilizados del español de España y de Argentina.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LOPEZ, PATRICIA ROSA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80020230100051UM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de boticas, farmacias y medicamentos utilizados en la época de los primeros fortines.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SEDEÑO, CRISTINA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80020230100056UM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Aplicación de la Neurociencia como herramienta para mejorar el rendimiento académico de estudiantes universitarios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CATRAMBONE, ANGELA ROSA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80020230100057UM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Antibióticos como contaminantes emergentes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CUELLO, KARINA ALEJANDRA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80020230100058UM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Evaluación de marcadores bioquímicos como predictores de Dengue y </w:t>
            </w:r>
            <w:proofErr w:type="spellStart"/>
            <w:r>
              <w:rPr>
                <w:rFonts w:ascii="Calibri" w:hAnsi="Calibri" w:cs="Calibri"/>
                <w:color w:val="000000"/>
              </w:rPr>
              <w:t>Chikungunya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graves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PENGUE, CLAUDIA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80020230100059UM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Análisis de Sustancias Psicoactivas en Plantas Rituales de la Patagonia Argentina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CERVINO, CLAUDIO OSVALDO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80020230100060UM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Quimeras matemáticas: interacción entre la topología de red y la dinámica nodal con aplicaciones a la neurociencia computacional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ESZTER, EDGARDO GABRIEL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80020230100061UM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ORGANOSILANOS  USADOS COMO INHIBIDORES DE LA CORROSIÓN Y PROMOTORES DE ADHERENCIA EN EL PRETRATAMIENTO SUPERFICIAL PARA  PINTURAS DE TIPO POLIÉSTER Y POLIURETÁNICA BASE ACUOSA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IORIO, ANTONIO PASCUAL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80020230100062UM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Biorremediación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suelos contaminados con agroquímicos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RIVARA, LILIA MARÍA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80020230100066UM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Biolixiviación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recuperación de iones metálicos a partir de residuos urbanos e industriales. </w:t>
            </w:r>
            <w:proofErr w:type="spellStart"/>
            <w:r>
              <w:rPr>
                <w:rFonts w:ascii="Calibri" w:hAnsi="Calibri" w:cs="Calibri"/>
                <w:color w:val="000000"/>
              </w:rPr>
              <w:t>Biolixiviación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Litio por flora fúngica filamentosa. Uso de cepas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con potencial </w:t>
            </w:r>
            <w:proofErr w:type="spellStart"/>
            <w:r>
              <w:rPr>
                <w:rFonts w:ascii="Calibri" w:hAnsi="Calibri" w:cs="Calibri"/>
                <w:color w:val="000000"/>
              </w:rPr>
              <w:t>biolixiviante</w:t>
            </w:r>
            <w:proofErr w:type="spellEnd"/>
            <w:r>
              <w:rPr>
                <w:rFonts w:ascii="Calibri" w:hAnsi="Calibri" w:cs="Calibri"/>
                <w:color w:val="000000"/>
              </w:rPr>
              <w:t>. Comparación con la lixiviación química.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REBAGLIATI, INES ROSA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80020230100067UM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Determinación del perfil nutricional de harinas de cebada, </w:t>
            </w:r>
            <w:proofErr w:type="spellStart"/>
            <w:r>
              <w:rPr>
                <w:rFonts w:ascii="Calibri" w:hAnsi="Calibri" w:cs="Calibri"/>
                <w:color w:val="000000"/>
              </w:rPr>
              <w:t>triticale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 trigo.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CASTRO, MARÍA LAURA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80020230100068UM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Tiempo, pensamiento e inconsciente. Un retorno a Capitalismo y Esquizofrenia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FERNANDEZ PARMO, GUIDO VICTOR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80020230100071UM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Edad de imputabilidad: análisis comparativo de la situación en distintos países y su relación con tasas de reincidencia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FERNÁNDEZ, WALTER OSCAR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80020230100073UM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Desarrollo de procedimientos productivos de las Pymes del municipio de Morón para elevar sus estándares de calidad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NIGRO, MATIAS ARIEL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80020230100081UM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INTELIGENCIA ARTIFICIAL Y EL DERECHO INTERNACIONAL PRIVADO EN EL AMBITO MERCOSUR, CON ESPECIAL REFERENCIA A LA RESPONSABILIDAD EXTRACONTRACTUAL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LAJE, RODRIGO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80020230100083UM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"Restauración de material original del sistema nervioso humano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Christofredo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Jakob en placas de vidrio. Recuperación y puesta en valor"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DONATI, JUAN ENRIQUE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80020230100084UM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Aplicación de la encuesta nacional de los usos del tiempo en la agricultura familiar en cuatro regiones del territorio nacional (Región PAMPEANA, NOA, NEA y  PATAGONIA)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LOGIOVINE, SABRINA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80020230100086UM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Vigencia normativa del protocolo de Estambul:¿Es derecho vigente?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ACOSTA, CARLOS JUAN</w:t>
            </w:r>
          </w:p>
        </w:tc>
      </w:tr>
      <w:tr w:rsidR="00B0615B" w:rsidTr="00435413">
        <w:tc>
          <w:tcPr>
            <w:tcW w:w="2122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80020230100003UM</w:t>
            </w:r>
          </w:p>
        </w:tc>
        <w:tc>
          <w:tcPr>
            <w:tcW w:w="3827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Trazando Rutas Sostenibles: Un Diagnóstico Socio-Ambiental para el Desarrollo Sostenible del Partido de la Costa"</w:t>
            </w:r>
          </w:p>
        </w:tc>
        <w:tc>
          <w:tcPr>
            <w:tcW w:w="2835" w:type="dxa"/>
            <w:vAlign w:val="center"/>
          </w:tcPr>
          <w:p w:rsidR="00B0615B" w:rsidRDefault="00B0615B" w:rsidP="00435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SANTACHITA, SANDRA</w:t>
            </w:r>
          </w:p>
        </w:tc>
      </w:tr>
    </w:tbl>
    <w:p w:rsidR="005571C6" w:rsidRDefault="005571C6">
      <w:bookmarkStart w:id="0" w:name="_GoBack"/>
      <w:bookmarkEnd w:id="0"/>
    </w:p>
    <w:sectPr w:rsidR="005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5B"/>
    <w:rsid w:val="00435413"/>
    <w:rsid w:val="005571C6"/>
    <w:rsid w:val="00B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2738"/>
  <w15:chartTrackingRefBased/>
  <w15:docId w15:val="{C24994D1-EAE9-4D10-9EF8-40ED8F4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1</cp:revision>
  <dcterms:created xsi:type="dcterms:W3CDTF">2025-10-07T12:20:00Z</dcterms:created>
  <dcterms:modified xsi:type="dcterms:W3CDTF">2025-10-07T12:54:00Z</dcterms:modified>
</cp:coreProperties>
</file>